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Weekly Bellows</w:t>
      </w:r>
    </w:p>
    <w:p>
      <w:pPr>
        <w:pStyle w:val="Heading1"/>
      </w:pPr>
      <w:r>
        <w:t>Nine Applications Apart</w:t>
      </w:r>
    </w:p>
    <w:p>
      <w:pPr>
        <w:pStyle w:val="Subtitle"/>
      </w:pPr>
      <w:r>
        <w:t>Workshop packet</w:t>
      </w:r>
    </w:p>
    <w:p>
      <w:pPr>
        <w:spacing w:after="280"/>
      </w:pPr>
      <w:r>
        <w:rPr>
          <w:b w:val="0"/>
          <w:sz w:val="19"/>
        </w:rPr>
        <w:t>October 7, 2026  |  Version 1  |  Research through October 5, 2026</w:t>
      </w:r>
    </w:p>
    <w:p>
      <w:pPr>
        <w:spacing w:after="120"/>
      </w:pPr>
      <w:r>
        <w:rPr>
          <w:b w:val="0"/>
        </w:rPr>
        <w:t>Bring one report that people rely on, or one student handoff that needs a closer look. Use these pages with a colleague to make the definition, evidence, owner and next action visible. Leave unresolved questions on the page.</w:t>
      </w:r>
    </w:p>
    <w:p>
      <w:pPr>
        <w:spacing w:after="120"/>
      </w:pPr>
      <w:r>
        <w:rPr>
          <w:b w:val="0"/>
        </w:rPr>
        <w:t>For admissions and CRM operations, institutional research, student services, and the appropriate financial-aid or records colleagues. Choose the pages that fit your work; you do not need to complete the whole packet.</w:t>
      </w:r>
    </w:p>
    <w:p>
      <w:pPr>
        <w:pStyle w:val="Heading2"/>
      </w:pPr>
      <w:r>
        <w:t>Start with one useful question</w:t>
      </w:r>
    </w:p>
    <w:p>
      <w:pPr>
        <w:spacing w:after="120"/>
      </w:pPr>
      <w:r>
        <w:rPr>
          <w:b w:val="0"/>
        </w:rPr>
        <w:t>1. Choose a decision. What will someone do differently because of this count or status?</w:t>
      </w:r>
    </w:p>
    <w:p>
      <w:pPr>
        <w:spacing w:after="120"/>
      </w:pPr>
      <w:r>
        <w:rPr>
          <w:b w:val="0"/>
        </w:rPr>
        <w:t>2. Compare the evidence. Use pages 2 and 3 for two reports, or page 4 for a handoff between people or offices.</w:t>
      </w:r>
    </w:p>
    <w:p>
      <w:pPr>
        <w:spacing w:after="120"/>
      </w:pPr>
      <w:r>
        <w:rPr>
          <w:b w:val="0"/>
        </w:rPr>
        <w:t>3. Agree on the next step. Use page 5 to record an owner and review date. A question can stay open if its next step is clear.</w:t>
      </w:r>
    </w:p>
    <w:p>
      <w:pPr>
        <w:pStyle w:val="Heading2"/>
      </w:pPr>
      <w:r>
        <w:t>A fictional example from the episode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032"/>
        <w:gridCol w:w="6048"/>
      </w:tblGrid>
      <w:tr>
        <w:trPr>
          <w:trHeight w:val="576" w:hRule="atLeast"/>
          <w:tblHeader/>
          <w:cantSplit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What the team sees</w:t>
            </w:r>
          </w:p>
        </w:tc>
        <w:tc>
          <w:tcPr>
            <w:tcW w:type="dxa" w:w="604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What the team records</w:t>
            </w:r>
          </w:p>
        </w:tc>
      </w:tr>
      <w:tr>
        <w:trPr>
          <w:cantSplit/>
          <w:trHeight w:val="821" w:hRule="atLeast"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Two completed-application reports are nine apart.</w:t>
            </w:r>
          </w:p>
        </w:tc>
        <w:tc>
          <w:tcPr>
            <w:tcW w:type="dxa" w:w="604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One is a Friday snapshot; the other refreshed Monday morning.</w:t>
            </w:r>
          </w:p>
        </w:tc>
      </w:tr>
      <w:tr>
        <w:trPr>
          <w:cantSplit/>
          <w:trHeight w:val="965" w:hRule="atLeast"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A weekend document upload explains one difference.</w:t>
            </w:r>
          </w:p>
        </w:tc>
        <w:tc>
          <w:tcPr>
            <w:tcW w:type="dxa" w:w="604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One explained; eight still open. The team keeps both time labels and investigates the remaining differences.</w:t>
            </w:r>
          </w:p>
        </w:tc>
      </w:tr>
    </w:tbl>
    <w:p>
      <w:pPr>
        <w:spacing w:after="0" w:line="100" w:lineRule="exact"/>
      </w:pPr>
    </w:p>
    <w:p>
      <w:pPr>
        <w:spacing w:after="120"/>
      </w:pPr>
      <w:r>
        <w:rPr>
          <w:b w:val="0"/>
          <w:sz w:val="19"/>
        </w:rPr>
        <w:t>CRM State, its people and these events are fictional. This example contains no real student or institutional data.</w:t>
      </w:r>
    </w:p>
    <w:p>
      <w:pPr>
        <w:pStyle w:val="Heading2"/>
      </w:pPr>
      <w:r>
        <w:t>Use the files in the way that suits you</w:t>
      </w:r>
    </w:p>
    <w:p>
      <w:pPr>
        <w:spacing w:after="120"/>
      </w:pPr>
      <w:r>
        <w:rPr>
          <w:b w:val="0"/>
          <w:sz w:val="20"/>
        </w:rPr>
        <w:t>DOCX: type into blank cells and replace writing lines; duplicate worksheet pages as needed. PDF: print and write by hand. This PDF has no interactive form fields.</w:t>
      </w:r>
    </w:p>
    <w:p>
      <w:pPr>
        <w:spacing w:after="120"/>
      </w:pPr>
      <w:r>
        <w:rPr>
          <w:b w:val="0"/>
          <w:sz w:val="20"/>
        </w:rPr>
        <w:t>Use fictional cases or non-identifying references. Keep student records, supporting documents, credentials and sensitive details in approved institutional systems. Follow your local access and records policies.</w:t>
      </w:r>
    </w:p>
    <w:p>
      <w:pPr>
        <w:spacing w:after="0"/>
      </w:pPr>
      <w:r>
        <w:rPr>
          <w:b w:val="0"/>
          <w:sz w:val="19"/>
        </w:rPr>
        <w:t>The worksheets are original local recommendations, not an evaluated intervention, eligibility determination or compliance checklist. Sources and limits appear on page 6.</w:t>
      </w:r>
    </w:p>
    <w:p>
      <w:pPr>
        <w:pStyle w:val="Heading1"/>
        <w:pageBreakBefore/>
      </w:pPr>
      <w:r>
        <w:t>Compare the report definitions</w:t>
      </w:r>
    </w:p>
    <w:p>
      <w:pPr>
        <w:spacing w:after="120"/>
      </w:pPr>
      <w:r>
        <w:rPr>
          <w:b w:val="0"/>
        </w:rPr>
        <w:t>Complete this before changing a query or choosing a preferred total. Keep the two reports and their original labels available. Research context: source 1 on page 6.</w:t>
      </w:r>
    </w:p>
    <w:p>
      <w:pPr>
        <w:spacing w:after="40"/>
      </w:pPr>
      <w:r>
        <w:rPr>
          <w:b/>
        </w:rPr>
        <w:t>Decision this count will support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Working session date __________________  Participants or roles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952"/>
        <w:gridCol w:w="3564"/>
        <w:gridCol w:w="3564"/>
      </w:tblGrid>
      <w:tr>
        <w:trPr>
          <w:trHeight w:val="576" w:hRule="atLeast"/>
          <w:tblHeader/>
          <w:cantSplit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Definition or evidence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Report A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Report B</w:t>
            </w:r>
          </w:p>
        </w:tc>
      </w:tr>
      <w:tr>
        <w:trPr>
          <w:cantSplit/>
          <w:trHeight w:val="605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Report name and version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864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Included population</w:t>
              <w:br/>
              <w:t>Who or what is counted?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706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Exclusions</w:t>
              <w:br/>
              <w:t>Who or what is left out?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792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Qualifying event</w:t>
              <w:br/>
              <w:t>What makes a record count?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936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Time basis and cutoff</w:t>
              <w:br/>
              <w:t>Snapshot or current view; date, time, time zone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619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Source system or dataset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806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Query or procedure version</w:t>
              <w:br/>
              <w:t>Approved location to reproduce it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763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Run or extract time</w:t>
              <w:br/>
              <w:t>Refresh schedule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677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Report owner</w:t>
              <w:br/>
              <w:t>Person or accountable role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720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Definition decision owner</w:t>
              <w:br/>
              <w:t>Who settles a disputed rule?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76" w:hRule="atLeast"/>
        </w:trPr>
        <w:tc>
          <w:tcPr>
            <w:tcW w:type="dxa" w:w="295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Reported count</w:t>
              <w:br/>
              <w:t>Keep the original value</w:t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6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after="0" w:line="100" w:lineRule="exact"/>
      </w:pPr>
    </w:p>
    <w:p>
      <w:pPr>
        <w:spacing w:after="0"/>
      </w:pPr>
      <w:r>
        <w:rPr>
          <w:b w:val="0"/>
          <w:sz w:val="19"/>
        </w:rPr>
        <w:t>Keep both original values. Choose the definition that fits the decision, then record that basis on page 3.</w:t>
      </w:r>
    </w:p>
    <w:p>
      <w:pPr>
        <w:pStyle w:val="Heading1"/>
        <w:pageBreakBefore/>
      </w:pPr>
      <w:r>
        <w:t>Keep the differences visible</w:t>
      </w:r>
    </w:p>
    <w:p>
      <w:pPr>
        <w:spacing w:after="120"/>
      </w:pPr>
      <w:r>
        <w:rPr>
          <w:b w:val="0"/>
        </w:rPr>
        <w:t>Use one row per difference or group of related exceptions. Record only what the evidence supports. Store any record-level investigation in an approved system.</w:t>
      </w:r>
    </w:p>
    <w:p>
      <w:pPr>
        <w:spacing w:after="120"/>
      </w:pPr>
      <w:r>
        <w:rPr>
          <w:b/>
        </w:rPr>
        <w:t>Count A __________  Count B __________  Difference B minus A __________</w:t>
      </w:r>
    </w:p>
    <w:p>
      <w:pPr>
        <w:spacing w:after="120"/>
      </w:pPr>
      <w:r>
        <w:rPr>
          <w:b w:val="0"/>
          <w:sz w:val="20"/>
        </w:rPr>
        <w:t>Comparison basis for this review __________________________________________________</w:t>
      </w:r>
    </w:p>
    <w:p>
      <w:pPr>
        <w:spacing w:after="120"/>
      </w:pPr>
      <w:r>
        <w:rPr>
          <w:b w:val="0"/>
          <w:sz w:val="19"/>
        </w:rPr>
        <w:t>Local reference below means a non-identifying label you can resolve inside an approved system. An effect may be a count, a direction, or unknown; distinguish these clearly.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28"/>
        <w:gridCol w:w="3528"/>
        <w:gridCol w:w="1584"/>
        <w:gridCol w:w="3240"/>
      </w:tblGrid>
      <w:tr>
        <w:trPr>
          <w:trHeight w:val="576" w:hRule="atLeast"/>
          <w:tblHeader/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Local reference</w:t>
              <w:br/>
              <w:t>or group</w:t>
            </w:r>
          </w:p>
        </w:tc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Evidence and finding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Effect on</w:t>
              <w:br/>
              <w:t>difference</w:t>
            </w:r>
          </w:p>
        </w:tc>
        <w:tc>
          <w:tcPr>
            <w:tcW w:type="dxa" w:w="324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Next action</w:t>
              <w:br/>
              <w:t>Owner and review date</w:t>
            </w:r>
          </w:p>
        </w:tc>
      </w:tr>
      <w:tr>
        <w:trPr>
          <w:cantSplit/>
          <w:trHeight w:val="1469" w:hRule="atLeast"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4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1469" w:hRule="atLeast"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4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1469" w:hRule="atLeast"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4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after="0" w:line="100" w:lineRule="exact"/>
      </w:pPr>
    </w:p>
    <w:p>
      <w:pPr>
        <w:spacing w:after="120"/>
      </w:pPr>
      <w:r>
        <w:rPr>
          <w:b w:val="0"/>
          <w:sz w:val="19"/>
        </w:rPr>
        <w:t>Possible questions to test: different cutoffs, a business rule, a join, a duplicate, or a data problem. These are hypotheses until checked.</w:t>
      </w:r>
    </w:p>
    <w:p>
      <w:pPr>
        <w:spacing w:after="40"/>
      </w:pPr>
      <w:r>
        <w:rPr>
          <w:b/>
        </w:rPr>
        <w:t>Differences explained so far and the evidence that supports them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40"/>
      </w:pPr>
      <w:r>
        <w:rPr>
          <w:b/>
        </w:rPr>
        <w:t>Unresolved exceptions or limits to this comparison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40"/>
      </w:pPr>
      <w:r>
        <w:rPr>
          <w:b/>
        </w:rPr>
        <w:t>Next review owner and date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0"/>
      </w:pPr>
      <w:r>
        <w:rPr>
          <w:b w:val="0"/>
          <w:sz w:val="19"/>
        </w:rPr>
        <w:t>Check before closing: the comparison basis is clear; explained differences can be reproduced; unresolved items remain visible; any corrected output has a new version.</w:t>
      </w:r>
    </w:p>
    <w:p>
      <w:pPr>
        <w:pStyle w:val="Heading1"/>
        <w:pageBreakBefore/>
      </w:pPr>
      <w:r>
        <w:t>Map the student handoff</w:t>
      </w:r>
    </w:p>
    <w:p>
      <w:pPr>
        <w:spacing w:after="120"/>
      </w:pPr>
      <w:r>
        <w:rPr>
          <w:b w:val="0"/>
        </w:rPr>
        <w:t>Walk a fictional case across one boundary at a time. Copy this page for a longer route. Use role names and non-identifying evidence locations. Research context: source 2 on page 6.</w:t>
      </w:r>
    </w:p>
    <w:p>
      <w:pPr>
        <w:spacing w:after="120"/>
      </w:pPr>
      <w:r>
        <w:rPr>
          <w:b w:val="0"/>
          <w:sz w:val="20"/>
        </w:rPr>
        <w:t>Fictional case label ____________________  Pathway or process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12"/>
        <w:gridCol w:w="3384"/>
        <w:gridCol w:w="3384"/>
      </w:tblGrid>
      <w:tr>
        <w:trPr>
          <w:trHeight w:val="576" w:hRule="atLeast"/>
          <w:tblHeader/>
          <w:cantSplit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What needs to be clear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Handoff 1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Handoff 2</w:t>
            </w:r>
          </w:p>
        </w:tc>
      </w:tr>
      <w:tr>
        <w:trPr>
          <w:cantSplit/>
          <w:trHeight w:val="792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Stage and next milestone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965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Responsible person or role</w:t>
              <w:br/>
              <w:t>Sender and receiver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1080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Required evidence</w:t>
              <w:br/>
              <w:t>Authoritative location and permitted editor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1152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Next contact and explanation</w:t>
              <w:br/>
              <w:t>What should the learner do or expect?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979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Waiting time</w:t>
              <w:br/>
              <w:t>When does waiting start; who notices?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893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Possible failure</w:t>
              <w:br/>
              <w:t>What might get stuck?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1008" w:hRule="atLeast"/>
        </w:trPr>
        <w:tc>
          <w:tcPr>
            <w:tcW w:type="dxa" w:w="3312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  <w:t>Correction or next action</w:t>
              <w:br/>
              <w:t>Who can resolve the problem?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after="0" w:line="100" w:lineRule="exact"/>
      </w:pPr>
    </w:p>
    <w:p>
      <w:pPr>
        <w:spacing w:after="40"/>
      </w:pPr>
      <w:r>
        <w:rPr>
          <w:b/>
        </w:rPr>
        <w:t>Initial financing question to take to the appropriate colleague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0"/>
      </w:pPr>
      <w:r>
        <w:rPr>
          <w:b w:val="0"/>
          <w:sz w:val="19"/>
        </w:rPr>
        <w:t>For an Ability to Benefit pathway, qualified financial-aid staff must check current rules and individual circumstances. A completed milestone does not by itself establish aid eligibility.</w:t>
      </w:r>
    </w:p>
    <w:p>
      <w:pPr>
        <w:pStyle w:val="Heading1"/>
        <w:pageBreakBefore/>
      </w:pPr>
      <w:r>
        <w:t>Leave with a next action</w:t>
      </w:r>
    </w:p>
    <w:p>
      <w:pPr>
        <w:spacing w:after="120"/>
      </w:pPr>
      <w:r>
        <w:rPr>
          <w:b w:val="0"/>
        </w:rPr>
        <w:t>Use this page to close a short working session. Keep a question open when the answer is not ready, and assign the step that will move it forward.</w:t>
      </w:r>
    </w:p>
    <w:p>
      <w:pPr>
        <w:spacing w:after="120"/>
      </w:pPr>
      <w:r>
        <w:rPr>
          <w:b w:val="0"/>
          <w:sz w:val="20"/>
        </w:rPr>
        <w:t>Session date __________________  Review date __________________</w:t>
      </w:r>
    </w:p>
    <w:p>
      <w:pPr>
        <w:spacing w:after="40"/>
      </w:pPr>
      <w:r>
        <w:rPr>
          <w:b/>
        </w:rPr>
        <w:t>Decision made or question still open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528"/>
        <w:gridCol w:w="2160"/>
        <w:gridCol w:w="1656"/>
        <w:gridCol w:w="2736"/>
      </w:tblGrid>
      <w:tr>
        <w:trPr>
          <w:trHeight w:val="576" w:hRule="atLeast"/>
          <w:tblHeader/>
          <w:cantSplit/>
        </w:trPr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Action or question</w:t>
            </w:r>
          </w:p>
        </w:tc>
        <w:tc>
          <w:tcPr>
            <w:tcW w:type="dxa" w:w="216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Accountable person</w:t>
              <w:br/>
              <w:t>or role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Due or review</w:t>
              <w:br/>
              <w:t>date</w:t>
            </w:r>
          </w:p>
        </w:tc>
        <w:tc>
          <w:tcPr>
            <w:tcW w:type="dxa" w:w="273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  <w:shd w:fill="E8E8E5"/>
          </w:tcPr>
          <w:p>
            <w:pPr>
              <w:spacing w:after="20" w:before="20" w:line="254" w:lineRule="exact"/>
            </w:pPr>
            <w:r>
              <w:rPr>
                <w:b/>
                <w:sz w:val="20"/>
              </w:rPr>
              <w:t>Completion evidence</w:t>
              <w:br/>
              <w:t>or current status</w:t>
            </w:r>
          </w:p>
        </w:tc>
      </w:tr>
      <w:tr>
        <w:trPr>
          <w:cantSplit/>
          <w:trHeight w:val="965" w:hRule="atLeast"/>
        </w:trPr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73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965" w:hRule="atLeast"/>
        </w:trPr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73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965" w:hRule="atLeast"/>
        </w:trPr>
        <w:tc>
          <w:tcPr>
            <w:tcW w:type="dxa" w:w="3528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736"/>
            <w:vAlign w:val="center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20" w:before="20" w:line="254" w:lineRule="exact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after="0" w:line="100" w:lineRule="exact"/>
      </w:pPr>
    </w:p>
    <w:p>
      <w:pPr>
        <w:pStyle w:val="Heading2"/>
      </w:pPr>
      <w:r>
        <w:t>Check the message before it reaches someone</w:t>
      </w:r>
    </w:p>
    <w:p>
      <w:pPr>
        <w:spacing w:after="120"/>
      </w:pPr>
      <w:r>
        <w:rPr>
          <w:b w:val="0"/>
          <w:sz w:val="20"/>
        </w:rPr>
        <w:t>Use fictional recipients and approved test accounts. Record the version and the setup so another colleague can repeat the check. A test describes that message in that setup.</w:t>
      </w:r>
    </w:p>
    <w:p>
      <w:pPr>
        <w:spacing w:after="120"/>
      </w:pPr>
      <w:r>
        <w:rPr>
          <w:b w:val="0"/>
          <w:sz w:val="20"/>
        </w:rPr>
        <w:t>Message version __________________  Test account or setup __________________</w:t>
      </w:r>
    </w:p>
    <w:p>
      <w:pPr>
        <w:spacing w:after="120"/>
      </w:pPr>
      <w:r>
        <w:rPr>
          <w:b w:val="0"/>
          <w:sz w:val="20"/>
        </w:rPr>
        <w:t>Reviewer _________________________  Test date ___________________________</w:t>
      </w:r>
    </w:p>
    <w:p>
      <w:pPr>
        <w:spacing w:after="100"/>
      </w:pPr>
      <w:r>
        <w:rPr>
          <w:b w:val="0"/>
          <w:sz w:val="20"/>
        </w:rPr>
        <w:t>[  ] The audience reflects the latest relevant status and exclusions.</w:t>
      </w:r>
    </w:p>
    <w:p>
      <w:pPr>
        <w:spacing w:after="100"/>
      </w:pPr>
      <w:r>
        <w:rPr>
          <w:b w:val="0"/>
          <w:sz w:val="20"/>
        </w:rPr>
        <w:t>[  ] The subject, first visible text and full message give a clear action, date and destination.</w:t>
      </w:r>
    </w:p>
    <w:p>
      <w:pPr>
        <w:spacing w:after="100"/>
      </w:pPr>
      <w:r>
        <w:rPr>
          <w:b w:val="0"/>
          <w:sz w:val="20"/>
        </w:rPr>
        <w:t>[  ] Any eligibility condition or important qualification stays understandable.</w:t>
      </w:r>
    </w:p>
    <w:p>
      <w:pPr>
        <w:spacing w:after="100"/>
      </w:pPr>
      <w:r>
        <w:rPr>
          <w:b w:val="0"/>
          <w:sz w:val="20"/>
        </w:rPr>
        <w:t>[  ] If an approved tool provides a summary, it preserves the action and material conditions.</w:t>
      </w:r>
    </w:p>
    <w:p>
      <w:pPr>
        <w:spacing w:after="100"/>
      </w:pPr>
      <w:r>
        <w:rPr>
          <w:b w:val="0"/>
          <w:sz w:val="20"/>
        </w:rPr>
        <w:t>[  ] A named person owns any correction and the release decision.</w:t>
      </w:r>
    </w:p>
    <w:p>
      <w:pPr>
        <w:spacing w:after="40"/>
      </w:pPr>
      <w:r>
        <w:rPr>
          <w:b/>
        </w:rPr>
        <w:t>What needs to change before release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80"/>
      </w:pPr>
      <w:r>
        <w:rPr>
          <w:b w:val="0"/>
          <w:color w:val="777777"/>
          <w:sz w:val="20"/>
        </w:rPr>
        <w:t>________________________________________________________________________________</w:t>
      </w:r>
    </w:p>
    <w:p>
      <w:pPr>
        <w:spacing w:after="0"/>
      </w:pPr>
      <w:r>
        <w:rPr>
          <w:b w:val="0"/>
          <w:sz w:val="19"/>
        </w:rPr>
        <w:t>If a number will be copied into a slide or message, keep its population, time period and material caveat beside it.</w:t>
      </w:r>
    </w:p>
    <w:p>
      <w:pPr>
        <w:pStyle w:val="Heading1"/>
        <w:pageBreakBefore/>
      </w:pPr>
      <w:r>
        <w:t>Dated reminder and source notes</w:t>
      </w:r>
    </w:p>
    <w:p>
      <w:pPr>
        <w:spacing w:after="120"/>
      </w:pPr>
      <w:r>
        <w:rPr>
          <w:b w:val="0"/>
        </w:rPr>
        <w:t>This packet accompanies the October 7, 2026 edition. Its source review ends October 5, 2026. Check the current official notice before acting on a dated requirement.</w:t>
      </w:r>
    </w:p>
    <w:p>
      <w:pPr>
        <w:pStyle w:val="Heading2"/>
      </w:pPr>
      <w:r>
        <w:t>FSA active confirmation for designated administrators</w:t>
      </w:r>
    </w:p>
    <w:p>
      <w:pPr>
        <w:spacing w:after="120"/>
      </w:pPr>
      <w:r>
        <w:rPr>
          <w:b w:val="0"/>
          <w:sz w:val="20"/>
        </w:rPr>
        <w:t>Federal Student Aid set the 2026 active-confirmation period for October 2 through December 31. Primary and Secondary Administrators review SAIG mailbox and associated online-service access. Eligibility &amp; Oversight Administrators and alternates review E&amp;O access. This reminder is for those designated roles, rather than a task for every staff member. [3]</w:t>
      </w:r>
    </w:p>
    <w:p>
      <w:pPr>
        <w:spacing w:after="120"/>
      </w:pPr>
      <w:r>
        <w:rPr>
          <w:b w:val="0"/>
          <w:sz w:val="20"/>
        </w:rPr>
        <w:t>FSA states that noncompletion will deactivate users and disrupt access to critical services. Identify the responsible administrators and record completion. An earlier internal review date is a local management choice. [3]</w:t>
      </w:r>
    </w:p>
    <w:p>
      <w:pPr>
        <w:spacing w:after="120"/>
      </w:pPr>
      <w:r>
        <w:rPr>
          <w:b w:val="0"/>
          <w:sz w:val="20"/>
        </w:rPr>
        <w:t>Designated owner or role ___________________  Internal review date ______________</w:t>
      </w:r>
    </w:p>
    <w:p>
      <w:pPr>
        <w:spacing w:after="120"/>
      </w:pPr>
      <w:r>
        <w:rPr>
          <w:b w:val="0"/>
          <w:sz w:val="20"/>
        </w:rPr>
        <w:t>Completion evidence or approved location ____________________________________</w:t>
      </w:r>
    </w:p>
    <w:p>
      <w:pPr>
        <w:pStyle w:val="Heading2"/>
      </w:pPr>
      <w:r>
        <w:t>Sources behind the episode</w:t>
      </w:r>
    </w:p>
    <w:p>
      <w:pPr>
        <w:spacing w:after="80" w:line="250" w:lineRule="exact"/>
      </w:pPr>
      <w:r>
        <w:rPr>
          <w:b w:val="0"/>
          <w:sz w:val="19"/>
        </w:rPr>
        <w:t xml:space="preserve">1. Cook, Bryan J., and Christine M. Keller. Learning from the Initial ACTS Reporting. Urban Institute and Association for Institutional Research, September 30, 2026. </w:t>
      </w:r>
      <w:hyperlink r:id="rId11">
        <w:r>
          <w:rPr>
            <w:color w:val="284D3B"/>
            <w:u w:val="single"/>
          </w:rPr>
          <w:t>Urban publisher summary</w:t>
        </w:r>
      </w:hyperlink>
      <w:r>
        <w:rPr>
          <w:sz w:val="19"/>
        </w:rPr>
        <w:t xml:space="preserve"> and </w:t>
      </w:r>
      <w:hyperlink r:id="rId12">
        <w:r>
          <w:rPr>
            <w:color w:val="284D3B"/>
            <w:u w:val="single"/>
          </w:rPr>
          <w:t>AIR publisher summary</w:t>
        </w:r>
      </w:hyperlink>
      <w:r>
        <w:rPr>
          <w:sz w:val="19"/>
        </w:rPr>
        <w:t>. Both summarize the same study. Full report methods were unavailable in the episode review; practitioner concerns are not audited error rates.</w:t>
      </w:r>
    </w:p>
    <w:p>
      <w:pPr>
        <w:spacing w:after="80" w:line="250" w:lineRule="exact"/>
      </w:pPr>
      <w:r>
        <w:rPr>
          <w:b w:val="0"/>
          <w:sz w:val="19"/>
        </w:rPr>
        <w:t xml:space="preserve">2. U.S. Department of Education, Office of Career, Technical, and Adult Education. Dual Enrollment for Adults. September 2026; exact publication day unstated. </w:t>
      </w:r>
      <w:hyperlink r:id="rId13">
        <w:r>
          <w:rPr>
            <w:color w:val="284D3B"/>
            <w:u w:val="single"/>
          </w:rPr>
          <w:t>Official resource page</w:t>
        </w:r>
      </w:hyperlink>
      <w:r>
        <w:rPr>
          <w:sz w:val="19"/>
        </w:rPr>
        <w:t xml:space="preserve"> and </w:t>
      </w:r>
      <w:hyperlink r:id="rId14">
        <w:r>
          <w:rPr>
            <w:color w:val="284D3B"/>
            <w:u w:val="single"/>
          </w:rPr>
          <w:t>toolkit PDF</w:t>
        </w:r>
      </w:hyperlink>
      <w:r>
        <w:rPr>
          <w:sz w:val="19"/>
        </w:rPr>
        <w:t>, printed pages 6-7, 13-14 and 18. The full toolkit was reviewed for the episode. It is implementation guidance, not a causal evaluation or an individual eligibility ruling.</w:t>
      </w:r>
    </w:p>
    <w:p>
      <w:pPr>
        <w:spacing w:after="80" w:line="250" w:lineRule="exact"/>
      </w:pPr>
      <w:r>
        <w:rPr>
          <w:b w:val="0"/>
          <w:sz w:val="19"/>
        </w:rPr>
        <w:t xml:space="preserve">3. Federal Student Aid. Active Confirmation Required by Dec. 31, 2026, to Maintain Access to FSA Systems. October 2, 2026; GENERAL-26-60. </w:t>
      </w:r>
      <w:hyperlink r:id="rId15">
        <w:r>
          <w:rPr>
            <w:color w:val="284D3B"/>
            <w:u w:val="single"/>
          </w:rPr>
          <w:t>Official FSA notice</w:t>
        </w:r>
      </w:hyperlink>
      <w:r>
        <w:rPr>
          <w:sz w:val="19"/>
        </w:rPr>
        <w:t>. The notice was reviewed through October 5, 2026. Use its current instructions for the designated administrator role.</w:t>
      </w:r>
    </w:p>
    <w:p>
      <w:pPr>
        <w:pStyle w:val="Heading2"/>
      </w:pPr>
      <w:r>
        <w:t>How to use the evidence</w:t>
      </w:r>
    </w:p>
    <w:p>
      <w:pPr>
        <w:spacing w:after="120"/>
      </w:pPr>
      <w:r>
        <w:rPr>
          <w:b w:val="0"/>
          <w:sz w:val="19"/>
        </w:rPr>
        <w:t>These original worksheets turn the episode's local recommendations into working prompts. They do not reproduce a vendor report or promise enrollment, accuracy or compliance outcomes. The message checklist is an editorial testing practice; it makes no general claim about inbox behavior.</w:t>
      </w:r>
    </w:p>
    <w:p>
      <w:pPr>
        <w:spacing w:after="0"/>
      </w:pPr>
      <w:r>
        <w:rPr>
          <w:b w:val="0"/>
          <w:sz w:val="19"/>
        </w:rPr>
        <w:t>The fictional example is illustrative only. No real student record, interview or institutional result is represented. Adapt the worksheets within institutional policies and approved systems; consult the appropriate qualified colleague for aid, access or compliance questions.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36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Workshop packet v1  |  October 7,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THE WEEKLY BELLOWS  /  INNOVATION FORGE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6" w:lineRule="exact" w:after="120"/>
    </w:pPr>
    <w:rPr>
      <w:rFonts w:ascii="Open Sans" w:hAnsi="Open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  <w:rPr>
      <w:rFonts w:ascii="Open Sans" w:hAnsi="Open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  <w:rPr>
      <w:rFonts w:ascii="Open Sans" w:hAnsi="Open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60"/>
      <w:outlineLvl w:val="0"/>
    </w:pPr>
    <w:rPr>
      <w:rFonts w:ascii="Liberation Serif" w:hAnsi="Liberation Serif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60"/>
      <w:outlineLvl w:val="1"/>
    </w:pPr>
    <w:rPr>
      <w:rFonts w:ascii="Open Sans" w:hAnsi="Ope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40" w:lineRule="auto"/>
      <w:contextualSpacing/>
    </w:pPr>
    <w:rPr>
      <w:rFonts w:ascii="Liberation Serif" w:hAnsi="Liberation Serif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="Open Sans" w:hAnsi="Open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urban.org/research/publication/learning-initial-acts-reporting" TargetMode="External"/><Relationship Id="rId12" Type="http://schemas.openxmlformats.org/officeDocument/2006/relationships/hyperlink" Target="https://www.airweb.org/article/2026/09/30/new-air-and-urban-institute-report-documents-ir-ie-professionals-experiences" TargetMode="External"/><Relationship Id="rId13" Type="http://schemas.openxmlformats.org/officeDocument/2006/relationships/hyperlink" Target="https://octae.ed.gov/resources/dual-enrollment-adults-deal-toolkit" TargetMode="External"/><Relationship Id="rId14" Type="http://schemas.openxmlformats.org/officeDocument/2006/relationships/hyperlink" Target="https://s3.amazonaws.com/PCRN/docs/DEAL_ATB_Toolkit-September2026-508.pdf" TargetMode="External"/><Relationship Id="rId15" Type="http://schemas.openxmlformats.org/officeDocument/2006/relationships/hyperlink" Target="https://fsapartners.ed.gov/knowledge-center/library/electronic-announcements/2026-10-02/active-confirmation-required-dec-31-2026-maintain-access-fsa-syste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Weekly Bellows Nine Applications Apart Workshop Packet</dc:title>
  <dc:subject>Editable worksheets for report reconciliation and student handoffs</dc:subject>
  <dc:creator>Innovation Forge</dc:creator>
  <cp:keywords>The Weekly Bellows, workshop packet, report reconciliation, student handoffs</cp:keywords>
  <dc:description>Version 1 dated October 7 2026. Research through October 5 2026.</dc:description>
  <cp:lastModifiedBy>Innovation Forge</cp:lastModifiedBy>
  <cp:revision>1</cp:revision>
  <dcterms:created xsi:type="dcterms:W3CDTF">2026-10-05T00:00:00Z</dcterms:created>
  <dcterms:modified xsi:type="dcterms:W3CDTF">2026-10-05T00:00:00Z</dcterms:modified>
  <cp:category/>
</cp:coreProperties>
</file>